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FCA" w:rsidRPr="0022155C" w:rsidRDefault="00583FCA" w:rsidP="00583FCA">
      <w:pPr>
        <w:pStyle w:val="NormalWeb"/>
        <w:jc w:val="center"/>
        <w:rPr>
          <w:color w:val="000000"/>
          <w:sz w:val="48"/>
          <w:szCs w:val="48"/>
        </w:rPr>
      </w:pPr>
      <w:bookmarkStart w:id="0" w:name="_GoBack"/>
      <w:bookmarkEnd w:id="0"/>
      <w:r w:rsidRPr="0022155C">
        <w:rPr>
          <w:color w:val="000000"/>
          <w:sz w:val="48"/>
          <w:szCs w:val="48"/>
        </w:rPr>
        <w:t>Impact of genetic changes in the E</w:t>
      </w:r>
      <w:r>
        <w:rPr>
          <w:color w:val="000000"/>
          <w:sz w:val="48"/>
          <w:szCs w:val="48"/>
        </w:rPr>
        <w:t xml:space="preserve">nterovirus </w:t>
      </w:r>
      <w:r w:rsidRPr="0022155C">
        <w:rPr>
          <w:color w:val="000000"/>
          <w:sz w:val="48"/>
          <w:szCs w:val="48"/>
        </w:rPr>
        <w:t>71 genome on virulence</w:t>
      </w:r>
    </w:p>
    <w:p w:rsidR="00583FCA" w:rsidRPr="0022155C" w:rsidRDefault="00583FCA" w:rsidP="00583FCA">
      <w:pPr>
        <w:pStyle w:val="NormalWeb"/>
        <w:rPr>
          <w:color w:val="000000"/>
          <w:sz w:val="27"/>
          <w:szCs w:val="27"/>
        </w:rPr>
      </w:pPr>
    </w:p>
    <w:p w:rsidR="00583FCA" w:rsidRPr="0022155C" w:rsidRDefault="00583FCA" w:rsidP="00583FCA">
      <w:pPr>
        <w:pStyle w:val="NormalWeb"/>
        <w:jc w:val="center"/>
        <w:rPr>
          <w:color w:val="000000"/>
          <w:sz w:val="40"/>
          <w:szCs w:val="40"/>
        </w:rPr>
      </w:pPr>
    </w:p>
    <w:p w:rsidR="00583FCA" w:rsidRPr="008413A6" w:rsidRDefault="00583FCA" w:rsidP="00583FCA">
      <w:pPr>
        <w:pStyle w:val="NormalWeb"/>
        <w:jc w:val="center"/>
        <w:rPr>
          <w:color w:val="000000"/>
          <w:sz w:val="36"/>
          <w:szCs w:val="36"/>
        </w:rPr>
      </w:pPr>
      <w:r w:rsidRPr="008413A6">
        <w:rPr>
          <w:color w:val="000000"/>
          <w:sz w:val="36"/>
          <w:szCs w:val="36"/>
        </w:rPr>
        <w:t xml:space="preserve">Chit Laa Poh*, </w:t>
      </w:r>
      <w:proofErr w:type="spellStart"/>
      <w:r w:rsidRPr="008413A6">
        <w:rPr>
          <w:color w:val="000000"/>
          <w:sz w:val="36"/>
          <w:szCs w:val="36"/>
        </w:rPr>
        <w:t>Madiiha</w:t>
      </w:r>
      <w:proofErr w:type="spellEnd"/>
      <w:r w:rsidRPr="008413A6">
        <w:rPr>
          <w:color w:val="000000"/>
          <w:sz w:val="36"/>
          <w:szCs w:val="36"/>
        </w:rPr>
        <w:t xml:space="preserve"> Bibi </w:t>
      </w:r>
      <w:proofErr w:type="spellStart"/>
      <w:r w:rsidRPr="008413A6">
        <w:rPr>
          <w:color w:val="000000"/>
          <w:sz w:val="36"/>
          <w:szCs w:val="36"/>
        </w:rPr>
        <w:t>Mandary</w:t>
      </w:r>
      <w:proofErr w:type="spellEnd"/>
      <w:r w:rsidRPr="008413A6">
        <w:rPr>
          <w:color w:val="000000"/>
          <w:sz w:val="36"/>
          <w:szCs w:val="36"/>
        </w:rPr>
        <w:t xml:space="preserve"> and Seng Kai Ong</w:t>
      </w:r>
    </w:p>
    <w:p w:rsidR="00583FCA" w:rsidRPr="0022155C" w:rsidRDefault="00583FCA" w:rsidP="00583FCA">
      <w:pPr>
        <w:pStyle w:val="NormalWeb"/>
        <w:rPr>
          <w:color w:val="000000"/>
          <w:sz w:val="27"/>
          <w:szCs w:val="27"/>
        </w:rPr>
      </w:pPr>
    </w:p>
    <w:p w:rsidR="00583FCA" w:rsidRPr="0022155C" w:rsidRDefault="00583FCA" w:rsidP="00583FCA">
      <w:pPr>
        <w:pStyle w:val="NormalWeb"/>
        <w:jc w:val="center"/>
        <w:rPr>
          <w:color w:val="000000"/>
          <w:sz w:val="32"/>
          <w:szCs w:val="32"/>
        </w:rPr>
      </w:pPr>
    </w:p>
    <w:p w:rsidR="00583FCA" w:rsidRPr="0022155C" w:rsidRDefault="00583FCA" w:rsidP="00583FCA">
      <w:pPr>
        <w:pStyle w:val="NormalWeb"/>
        <w:jc w:val="center"/>
        <w:rPr>
          <w:color w:val="000000"/>
          <w:sz w:val="32"/>
          <w:szCs w:val="32"/>
        </w:rPr>
      </w:pPr>
      <w:r w:rsidRPr="0022155C">
        <w:rPr>
          <w:color w:val="000000"/>
          <w:sz w:val="32"/>
          <w:szCs w:val="32"/>
        </w:rPr>
        <w:t>Centre for Virus and Vaccine Research, School of Science and Technology, Sunway University, Kuala Lumpur, Selangor 47500, Malaysia;</w:t>
      </w:r>
    </w:p>
    <w:p w:rsidR="00583FCA" w:rsidRPr="0022155C" w:rsidRDefault="00583FCA" w:rsidP="00583FCA">
      <w:pPr>
        <w:pStyle w:val="NormalWeb"/>
        <w:jc w:val="center"/>
        <w:rPr>
          <w:color w:val="000000"/>
          <w:sz w:val="27"/>
          <w:szCs w:val="27"/>
        </w:rPr>
      </w:pPr>
    </w:p>
    <w:p w:rsidR="00583FCA" w:rsidRPr="0022155C" w:rsidRDefault="00583FCA" w:rsidP="00583FCA">
      <w:pPr>
        <w:pStyle w:val="NormalWeb"/>
        <w:jc w:val="center"/>
        <w:rPr>
          <w:color w:val="000000"/>
          <w:sz w:val="27"/>
          <w:szCs w:val="27"/>
        </w:rPr>
      </w:pPr>
    </w:p>
    <w:p w:rsidR="00583FCA" w:rsidRPr="0022155C" w:rsidRDefault="00583FCA" w:rsidP="00583FCA">
      <w:pPr>
        <w:pStyle w:val="NormalWeb"/>
        <w:rPr>
          <w:color w:val="000000"/>
          <w:sz w:val="27"/>
          <w:szCs w:val="27"/>
        </w:rPr>
      </w:pPr>
    </w:p>
    <w:p w:rsidR="00583FCA" w:rsidRPr="0022155C" w:rsidRDefault="00583FCA" w:rsidP="00583FCA">
      <w:pPr>
        <w:pStyle w:val="NormalWeb"/>
        <w:rPr>
          <w:color w:val="000000"/>
          <w:sz w:val="27"/>
          <w:szCs w:val="27"/>
        </w:rPr>
      </w:pPr>
    </w:p>
    <w:p w:rsidR="00583FCA" w:rsidRPr="0022155C" w:rsidRDefault="00583FCA" w:rsidP="00583FCA">
      <w:pPr>
        <w:pStyle w:val="NormalWeb"/>
        <w:rPr>
          <w:color w:val="000000"/>
          <w:sz w:val="27"/>
          <w:szCs w:val="27"/>
        </w:rPr>
      </w:pPr>
      <w:r w:rsidRPr="0022155C">
        <w:rPr>
          <w:color w:val="000000"/>
          <w:sz w:val="27"/>
          <w:szCs w:val="27"/>
        </w:rPr>
        <w:t xml:space="preserve">*Correspondence: </w:t>
      </w:r>
      <w:hyperlink r:id="rId4" w:history="1">
        <w:r w:rsidRPr="0022155C">
          <w:rPr>
            <w:rStyle w:val="Hyperlink"/>
            <w:color w:val="000000"/>
            <w:sz w:val="27"/>
            <w:szCs w:val="27"/>
          </w:rPr>
          <w:t>pohcl@sunway.edu.my</w:t>
        </w:r>
      </w:hyperlink>
      <w:r w:rsidRPr="0022155C">
        <w:rPr>
          <w:color w:val="000000"/>
          <w:sz w:val="27"/>
          <w:szCs w:val="27"/>
        </w:rPr>
        <w:t xml:space="preserve">; </w:t>
      </w:r>
    </w:p>
    <w:p w:rsidR="00583FCA" w:rsidRPr="0022155C" w:rsidRDefault="00583FCA" w:rsidP="00583FCA">
      <w:pPr>
        <w:pStyle w:val="NormalWeb"/>
        <w:rPr>
          <w:color w:val="000000"/>
          <w:sz w:val="27"/>
          <w:szCs w:val="27"/>
        </w:rPr>
      </w:pPr>
      <w:r w:rsidRPr="0022155C">
        <w:rPr>
          <w:color w:val="000000"/>
          <w:sz w:val="27"/>
          <w:szCs w:val="27"/>
        </w:rPr>
        <w:t>Tel.: +60-3-7491-8622 (ext. 73</w:t>
      </w:r>
      <w:r>
        <w:rPr>
          <w:color w:val="000000"/>
          <w:sz w:val="27"/>
          <w:szCs w:val="27"/>
        </w:rPr>
        <w:t>3</w:t>
      </w:r>
      <w:r w:rsidRPr="0022155C">
        <w:rPr>
          <w:color w:val="000000"/>
          <w:sz w:val="27"/>
          <w:szCs w:val="27"/>
        </w:rPr>
        <w:t xml:space="preserve">8); </w:t>
      </w:r>
    </w:p>
    <w:p w:rsidR="00583FCA" w:rsidRPr="0022155C" w:rsidRDefault="00583FCA" w:rsidP="00583FCA">
      <w:pPr>
        <w:pStyle w:val="NormalWeb"/>
        <w:rPr>
          <w:color w:val="000000"/>
          <w:sz w:val="27"/>
          <w:szCs w:val="27"/>
        </w:rPr>
      </w:pPr>
      <w:r w:rsidRPr="0022155C">
        <w:rPr>
          <w:color w:val="000000"/>
          <w:sz w:val="27"/>
          <w:szCs w:val="27"/>
        </w:rPr>
        <w:t>Fax: +60-3-5635-8633</w:t>
      </w:r>
    </w:p>
    <w:p w:rsidR="00583FCA" w:rsidRPr="0022155C" w:rsidRDefault="00583FCA" w:rsidP="00583FCA">
      <w:pPr>
        <w:pStyle w:val="NormalWeb"/>
        <w:rPr>
          <w:color w:val="000000"/>
          <w:sz w:val="27"/>
          <w:szCs w:val="27"/>
        </w:rPr>
      </w:pPr>
      <w:r w:rsidRPr="0022155C">
        <w:rPr>
          <w:color w:val="000000"/>
          <w:sz w:val="27"/>
          <w:szCs w:val="27"/>
        </w:rPr>
        <w:t>Received: 12-11-2019</w:t>
      </w:r>
    </w:p>
    <w:p w:rsidR="00583FCA" w:rsidRPr="0022155C" w:rsidRDefault="00583FCA" w:rsidP="00583FCA">
      <w:pPr>
        <w:pStyle w:val="NormalWeb"/>
        <w:rPr>
          <w:color w:val="000000"/>
          <w:sz w:val="27"/>
          <w:szCs w:val="27"/>
        </w:rPr>
      </w:pPr>
    </w:p>
    <w:p w:rsidR="00583FCA" w:rsidRPr="0022155C" w:rsidRDefault="00583FCA" w:rsidP="00583FCA">
      <w:pPr>
        <w:pStyle w:val="NormalWeb"/>
        <w:rPr>
          <w:color w:val="000000"/>
          <w:sz w:val="27"/>
          <w:szCs w:val="27"/>
        </w:rPr>
      </w:pPr>
    </w:p>
    <w:p w:rsidR="00583FCA" w:rsidRPr="0022155C" w:rsidRDefault="00583FCA" w:rsidP="00583FCA">
      <w:pPr>
        <w:pStyle w:val="NormalWeb"/>
        <w:rPr>
          <w:color w:val="000000"/>
          <w:sz w:val="27"/>
          <w:szCs w:val="27"/>
        </w:rPr>
      </w:pPr>
    </w:p>
    <w:p w:rsidR="00583FCA" w:rsidRDefault="00583FCA" w:rsidP="00583FCA">
      <w:pPr>
        <w:pStyle w:val="NormalWeb"/>
        <w:rPr>
          <w:color w:val="000000"/>
          <w:sz w:val="27"/>
          <w:szCs w:val="27"/>
        </w:rPr>
      </w:pPr>
      <w:r w:rsidRPr="0022155C">
        <w:rPr>
          <w:color w:val="000000"/>
          <w:sz w:val="27"/>
          <w:szCs w:val="27"/>
        </w:rPr>
        <w:t xml:space="preserve">Keywords: EV-A71; Enterovirus 71, RNA, epidemiology; recombination; spontaneous mutations; virulence, viral fitness, </w:t>
      </w:r>
      <w:proofErr w:type="spellStart"/>
      <w:r w:rsidRPr="0022155C">
        <w:rPr>
          <w:color w:val="000000"/>
          <w:sz w:val="27"/>
          <w:szCs w:val="27"/>
        </w:rPr>
        <w:t>pathogenecity</w:t>
      </w:r>
      <w:proofErr w:type="spellEnd"/>
      <w:r w:rsidRPr="0022155C">
        <w:rPr>
          <w:color w:val="000000"/>
          <w:sz w:val="27"/>
          <w:szCs w:val="27"/>
        </w:rPr>
        <w:t xml:space="preserve">, </w:t>
      </w:r>
      <w:r>
        <w:rPr>
          <w:color w:val="000000"/>
          <w:sz w:val="27"/>
          <w:szCs w:val="27"/>
        </w:rPr>
        <w:t>antigenicity</w:t>
      </w:r>
    </w:p>
    <w:p w:rsidR="00583FCA" w:rsidRPr="0022155C" w:rsidRDefault="00583FCA" w:rsidP="00583FCA">
      <w:pPr>
        <w:pStyle w:val="NormalWeb"/>
        <w:rPr>
          <w:color w:val="000000"/>
          <w:sz w:val="27"/>
          <w:szCs w:val="27"/>
        </w:rPr>
      </w:pPr>
    </w:p>
    <w:p w:rsidR="00583FCA" w:rsidRPr="00D63787" w:rsidRDefault="00583FCA" w:rsidP="00583FCA">
      <w:pPr>
        <w:pStyle w:val="NormalWeb"/>
        <w:rPr>
          <w:b/>
          <w:color w:val="000000"/>
          <w:sz w:val="28"/>
          <w:szCs w:val="28"/>
        </w:rPr>
      </w:pPr>
      <w:r w:rsidRPr="00D63787">
        <w:rPr>
          <w:b/>
          <w:color w:val="000000"/>
          <w:sz w:val="28"/>
          <w:szCs w:val="28"/>
        </w:rPr>
        <w:lastRenderedPageBreak/>
        <w:t>Abstract</w:t>
      </w:r>
    </w:p>
    <w:p w:rsidR="00583FCA" w:rsidRPr="00D63787" w:rsidRDefault="00583FCA" w:rsidP="00583FCA">
      <w:pPr>
        <w:pStyle w:val="NormalWeb"/>
        <w:spacing w:line="360" w:lineRule="auto"/>
        <w:ind w:firstLine="720"/>
        <w:rPr>
          <w:color w:val="000000"/>
        </w:rPr>
      </w:pPr>
      <w:r w:rsidRPr="00D63787">
        <w:rPr>
          <w:color w:val="000000"/>
        </w:rPr>
        <w:t>Enterovirus 71 (EV-A71) is one of the main etiological agents of hand, foot and mouth disease (HFMD). EV-A71 mainly infect</w:t>
      </w:r>
      <w:r>
        <w:rPr>
          <w:color w:val="000000"/>
        </w:rPr>
        <w:t>s</w:t>
      </w:r>
      <w:r w:rsidRPr="00D63787">
        <w:rPr>
          <w:color w:val="000000"/>
        </w:rPr>
        <w:t xml:space="preserve"> infants and young children below six years of age. Clinical manifestations of HFMD include fever, rashes with the presence of vesicles on the hand, feet and mouth. However, the onset of severe HFMD can lead to neurological complications such as acute flaccid paralysis, brainstem encephalitis and cardiac pulmonary failure that can be fatal. This chapter addresses how genetic events such as recombination and spontaneous mutations could change the genomic organization of EV-A71, leading to strains with higher virulence. An understanding of the recombination mechanism of the poliovirus and non-polio enteroviruses provides evidence for the emergence of novel EV-A71 strains responsible for fatal HFMD outbreaks. Currently, it is unknown if the virulence of EV-A71 is contributed by the events of recombination between EV-A71 and other enteroviruses or it is due to the presence of spontaneous mutations that </w:t>
      </w:r>
      <w:r>
        <w:rPr>
          <w:color w:val="000000"/>
        </w:rPr>
        <w:t xml:space="preserve">affect its </w:t>
      </w:r>
      <w:r w:rsidRPr="00D63787">
        <w:rPr>
          <w:color w:val="000000"/>
        </w:rPr>
        <w:t>virulence.</w:t>
      </w:r>
    </w:p>
    <w:p w:rsidR="00314979" w:rsidRDefault="00314979"/>
    <w:sectPr w:rsidR="003149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FCA"/>
    <w:rsid w:val="00142A43"/>
    <w:rsid w:val="00314979"/>
    <w:rsid w:val="00583FC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37512-D806-4D6C-A474-738D09525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3F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uiPriority w:val="99"/>
    <w:unhideWhenUsed/>
    <w:rsid w:val="00583F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ohcl@sunway.edu.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Lim Hui Xuan</dc:creator>
  <cp:keywords/>
  <dc:description/>
  <cp:lastModifiedBy>Dr. Janaki Sinnasamy</cp:lastModifiedBy>
  <cp:revision>2</cp:revision>
  <dcterms:created xsi:type="dcterms:W3CDTF">2019-12-20T03:02:00Z</dcterms:created>
  <dcterms:modified xsi:type="dcterms:W3CDTF">2019-12-20T03:02:00Z</dcterms:modified>
</cp:coreProperties>
</file>